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FB" w:rsidRPr="002F06FB" w:rsidRDefault="002F06FB" w:rsidP="002F06FB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proofErr w:type="spellStart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Титульний</w:t>
      </w:r>
      <w:proofErr w:type="spellEnd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 xml:space="preserve"> </w:t>
      </w:r>
      <w:proofErr w:type="spellStart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аркуш</w:t>
      </w:r>
      <w:proofErr w:type="spellEnd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 xml:space="preserve"> </w:t>
      </w:r>
      <w:proofErr w:type="spellStart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Повідомлення</w:t>
      </w:r>
      <w:proofErr w:type="spellEnd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 xml:space="preserve"> (</w:t>
      </w:r>
      <w:proofErr w:type="spellStart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Повідомлення</w:t>
      </w:r>
      <w:proofErr w:type="spellEnd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 xml:space="preserve"> про </w:t>
      </w:r>
      <w:proofErr w:type="spellStart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інформацію</w:t>
      </w:r>
      <w:proofErr w:type="spellEnd"/>
      <w:r w:rsidRPr="002F06FB">
        <w:rPr>
          <w:rFonts w:ascii="Dejavu Sans Condense" w:hAnsi="Dejavu Sans Condense"/>
          <w:b/>
          <w:bCs/>
          <w:color w:val="000000"/>
          <w:sz w:val="48"/>
          <w:szCs w:val="48"/>
        </w:rPr>
        <w:t>)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Підтверджую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ідентичність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електронної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паперової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форм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подається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до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та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достовірність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наданої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розкриття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в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.</w:t>
            </w:r>
          </w:p>
        </w:tc>
      </w:tr>
    </w:tbl>
    <w:p w:rsidR="002F06FB" w:rsidRPr="002F06FB" w:rsidRDefault="002F06FB" w:rsidP="002F06FB">
      <w:pPr>
        <w:textAlignment w:val="baseline"/>
        <w:rPr>
          <w:vanish/>
          <w:sz w:val="21"/>
          <w:szCs w:val="2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2F06FB" w:rsidRPr="002F06FB" w:rsidTr="002F06F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Голова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>)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13.04.2017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F06FB" w:rsidRPr="002F06FB" w:rsidRDefault="002F06FB" w:rsidP="002F06FB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F06FB" w:rsidRPr="002F06FB" w:rsidRDefault="002F06FB" w:rsidP="002F0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F06FB" w:rsidRPr="002F06FB" w:rsidRDefault="002F06FB" w:rsidP="002F06FB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2F06FB" w:rsidRPr="002F06FB" w:rsidRDefault="002F06FB" w:rsidP="002F06FB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2F06FB" w:rsidRPr="002F06FB" w:rsidRDefault="002F06FB" w:rsidP="002F06FB">
      <w:pPr>
        <w:jc w:val="center"/>
        <w:textAlignment w:val="baseline"/>
        <w:rPr>
          <w:sz w:val="21"/>
          <w:szCs w:val="21"/>
        </w:rPr>
      </w:pP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Особлива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інформація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інформація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іпотечні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цінні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папери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,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сертифікати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фонду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операцій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з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нерухомістю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)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емітента</w:t>
      </w:r>
      <w:proofErr w:type="spellEnd"/>
    </w:p>
    <w:p w:rsidR="002F06FB" w:rsidRPr="002F06FB" w:rsidRDefault="002F06FB" w:rsidP="002F06FB">
      <w:pPr>
        <w:jc w:val="center"/>
        <w:textAlignment w:val="baseline"/>
        <w:rPr>
          <w:sz w:val="21"/>
          <w:szCs w:val="21"/>
        </w:rPr>
      </w:pPr>
      <w:r w:rsidRPr="002F06FB">
        <w:rPr>
          <w:b/>
          <w:bCs/>
          <w:sz w:val="27"/>
          <w:szCs w:val="27"/>
          <w:bdr w:val="none" w:sz="0" w:space="0" w:color="auto" w:frame="1"/>
        </w:rPr>
        <w:t xml:space="preserve">I.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Загальні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1.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Повне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найменування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акцiонерне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“Страхова </w:t>
            </w: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</w:t>
            </w: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2F06FB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”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Організаційно-правова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форма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Публічне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акціонерне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03150, м.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Велика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, 102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5.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Міжміський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0442474477 0445290894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6.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Електронна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поштова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адреса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2F06FB" w:rsidRPr="002F06FB" w:rsidRDefault="002F06FB" w:rsidP="002F06FB">
      <w:pPr>
        <w:jc w:val="center"/>
        <w:textAlignment w:val="baseline"/>
        <w:rPr>
          <w:sz w:val="21"/>
          <w:szCs w:val="21"/>
        </w:rPr>
      </w:pPr>
      <w:r w:rsidRPr="002F06FB">
        <w:rPr>
          <w:b/>
          <w:bCs/>
          <w:sz w:val="27"/>
          <w:szCs w:val="27"/>
          <w:bdr w:val="none" w:sz="0" w:space="0" w:color="auto" w:frame="1"/>
        </w:rPr>
        <w:t xml:space="preserve">II.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Дані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про дату та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місце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оприлюднення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Повідомлення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Повідомлення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2F06FB">
        <w:rPr>
          <w:b/>
          <w:bCs/>
          <w:sz w:val="27"/>
          <w:szCs w:val="27"/>
          <w:bdr w:val="none" w:sz="0" w:space="0" w:color="auto" w:frame="1"/>
        </w:rPr>
        <w:t>інформацію</w:t>
      </w:r>
      <w:proofErr w:type="spellEnd"/>
      <w:r w:rsidRPr="002F06FB">
        <w:rPr>
          <w:b/>
          <w:bCs/>
          <w:sz w:val="27"/>
          <w:szCs w:val="27"/>
          <w:bdr w:val="none" w:sz="0" w:space="0" w:color="auto" w:frame="1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2F06FB" w:rsidRPr="002F06FB" w:rsidTr="002F06F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1.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</w:tr>
      <w:tr w:rsidR="002F06FB" w:rsidRPr="002F06FB" w:rsidTr="002F06F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опубліковано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</w:tr>
      <w:tr w:rsidR="002F06FB" w:rsidRPr="002F06FB" w:rsidTr="002F06F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в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мережі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</w:tr>
      <w:tr w:rsidR="002F06FB" w:rsidRPr="002F06FB" w:rsidTr="002F06F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2F06FB">
              <w:rPr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2F06FB">
              <w:rPr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2F06FB" w:rsidRPr="002F06FB" w:rsidRDefault="002F06FB" w:rsidP="002F06FB">
      <w:pPr>
        <w:jc w:val="center"/>
        <w:textAlignment w:val="baseline"/>
        <w:rPr>
          <w:sz w:val="21"/>
          <w:szCs w:val="21"/>
          <w:lang w:val="uk-UA"/>
        </w:rPr>
      </w:pPr>
      <w:proofErr w:type="spellStart"/>
      <w:r w:rsidRPr="002F06FB">
        <w:rPr>
          <w:b/>
          <w:bCs/>
          <w:sz w:val="36"/>
          <w:szCs w:val="36"/>
          <w:bdr w:val="none" w:sz="0" w:space="0" w:color="auto" w:frame="1"/>
        </w:rPr>
        <w:t>Відомості</w:t>
      </w:r>
      <w:proofErr w:type="spellEnd"/>
      <w:r w:rsidRPr="002F06FB">
        <w:rPr>
          <w:b/>
          <w:bCs/>
          <w:sz w:val="36"/>
          <w:szCs w:val="36"/>
          <w:bdr w:val="none" w:sz="0" w:space="0" w:color="auto" w:frame="1"/>
        </w:rPr>
        <w:t xml:space="preserve"> про </w:t>
      </w:r>
      <w:proofErr w:type="spellStart"/>
      <w:r w:rsidRPr="002F06FB">
        <w:rPr>
          <w:b/>
          <w:bCs/>
          <w:sz w:val="36"/>
          <w:szCs w:val="36"/>
          <w:bdr w:val="none" w:sz="0" w:space="0" w:color="auto" w:frame="1"/>
        </w:rPr>
        <w:t>рішення</w:t>
      </w:r>
      <w:proofErr w:type="spellEnd"/>
      <w:r w:rsidRPr="002F06FB">
        <w:rPr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 w:rsidRPr="002F06FB">
        <w:rPr>
          <w:b/>
          <w:bCs/>
          <w:sz w:val="36"/>
          <w:szCs w:val="36"/>
          <w:bdr w:val="none" w:sz="0" w:space="0" w:color="auto" w:frame="1"/>
        </w:rPr>
        <w:t>емітента</w:t>
      </w:r>
      <w:proofErr w:type="spellEnd"/>
      <w:r w:rsidRPr="002F06FB">
        <w:rPr>
          <w:b/>
          <w:bCs/>
          <w:sz w:val="36"/>
          <w:szCs w:val="36"/>
          <w:bdr w:val="none" w:sz="0" w:space="0" w:color="auto" w:frame="1"/>
        </w:rPr>
        <w:t xml:space="preserve"> про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надання</w:t>
      </w:r>
      <w:proofErr w:type="spellEnd"/>
      <w:r>
        <w:rPr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згоди</w:t>
      </w:r>
      <w:proofErr w:type="spellEnd"/>
      <w:r>
        <w:rPr>
          <w:b/>
          <w:bCs/>
          <w:sz w:val="36"/>
          <w:szCs w:val="36"/>
          <w:bdr w:val="none" w:sz="0" w:space="0" w:color="auto" w:frame="1"/>
        </w:rPr>
        <w:t xml:space="preserve"> на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попереднє</w:t>
      </w:r>
      <w:bookmarkStart w:id="0" w:name="_GoBack"/>
      <w:bookmarkEnd w:id="0"/>
      <w:proofErr w:type="spellEnd"/>
      <w:r>
        <w:rPr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погодження</w:t>
      </w:r>
      <w:proofErr w:type="spellEnd"/>
      <w:r>
        <w:rPr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значних</w:t>
      </w:r>
      <w:proofErr w:type="spellEnd"/>
      <w:r>
        <w:rPr>
          <w:b/>
          <w:bCs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b/>
          <w:bCs/>
          <w:sz w:val="36"/>
          <w:szCs w:val="36"/>
          <w:bdr w:val="none" w:sz="0" w:space="0" w:color="auto" w:frame="1"/>
        </w:rPr>
        <w:t>правочин</w:t>
      </w:r>
      <w:r>
        <w:rPr>
          <w:b/>
          <w:bCs/>
          <w:sz w:val="36"/>
          <w:szCs w:val="36"/>
          <w:bdr w:val="none" w:sz="0" w:space="0" w:color="auto" w:frame="1"/>
          <w:lang w:val="uk-UA"/>
        </w:rPr>
        <w:t>ів</w:t>
      </w:r>
      <w:proofErr w:type="spell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1607"/>
        <w:gridCol w:w="2049"/>
        <w:gridCol w:w="2498"/>
        <w:gridCol w:w="3869"/>
      </w:tblGrid>
      <w:tr w:rsidR="002F06FB" w:rsidRPr="002F06FB" w:rsidTr="002F06F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№ з/п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 xml:space="preserve">Дата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прийняття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рішення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color w:val="000000"/>
                <w:sz w:val="21"/>
                <w:szCs w:val="21"/>
              </w:rPr>
              <w:t>Гранична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сукупність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вартості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правочинів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(тис.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грн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color w:val="000000"/>
                <w:sz w:val="21"/>
                <w:szCs w:val="21"/>
              </w:rPr>
              <w:t>Вартість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активів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емітента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даними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останньої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річної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фінансової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звітності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(тис.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грн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color w:val="000000"/>
                <w:sz w:val="21"/>
                <w:szCs w:val="21"/>
              </w:rPr>
              <w:t>Співвідношення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граничної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сукупності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вартості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правочинів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вартості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активів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емітента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даними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останньої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річної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фінансової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звітності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 xml:space="preserve"> (у </w:t>
            </w:r>
            <w:proofErr w:type="spellStart"/>
            <w:r w:rsidRPr="002F06FB">
              <w:rPr>
                <w:color w:val="000000"/>
                <w:sz w:val="21"/>
                <w:szCs w:val="21"/>
              </w:rPr>
              <w:t>відсотках</w:t>
            </w:r>
            <w:proofErr w:type="spellEnd"/>
            <w:r w:rsidRPr="002F06FB">
              <w:rPr>
                <w:color w:val="000000"/>
                <w:sz w:val="21"/>
                <w:szCs w:val="21"/>
              </w:rPr>
              <w:t>)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5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185574.9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75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</w:t>
            </w:r>
            <w:proofErr w:type="spellEnd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: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чергових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зборах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акцiонерiв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(Протокол № 42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вiд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12.04.2017р.)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прийнято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рiшення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надати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попередню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згоду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укладання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значних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господарських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якi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можуть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вчинятись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Товариством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перiод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 12.04.17р. по 11.04.2018р. (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включно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),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якщо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ринкова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майна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або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послуг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може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бути предметом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становить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бiльше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10%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активiв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даними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рiчної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фiнансової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звiтностi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2016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рiк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саме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: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господарських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розмiщення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грошових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коштiв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на депозитах-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гранична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сукупна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кожного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правочину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не повинна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перевищувати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75%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активiв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даними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рiчної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фiнансової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звiтностi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2016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рiк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7 057 478 694,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зареєстрованi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участi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зборах7 052 746 062,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проголосували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“за” 7 051 597 333,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проголосували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“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” 0.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3850060.59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1"/>
                <w:szCs w:val="21"/>
              </w:rPr>
              <w:t>1556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proofErr w:type="spellStart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</w:t>
            </w:r>
            <w:proofErr w:type="spellEnd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2F06FB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:</w:t>
            </w:r>
          </w:p>
        </w:tc>
      </w:tr>
      <w:tr w:rsidR="002F06FB" w:rsidRPr="002F06FB" w:rsidTr="002F06F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2F06FB" w:rsidRPr="002F06FB" w:rsidRDefault="002F06FB" w:rsidP="002F06FB">
            <w:pPr>
              <w:rPr>
                <w:color w:val="000000"/>
                <w:sz w:val="21"/>
                <w:szCs w:val="21"/>
              </w:rPr>
            </w:pP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чергових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зборах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акцiонерiв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(Протокол № 42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вiд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12.04.2017р.)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прийнято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рiшення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надати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попередню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згоду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укладання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значних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господарських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якi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можуть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вчинятись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Товариством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перiод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 12.04.17р. по 11.04.2018р. (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включно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),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якщо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ринкова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майна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або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послуг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може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бути предметом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становить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бiльше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10%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активiв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даними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рiчної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фiнансової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звiтностi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2016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рiк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саме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: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значних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господарських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(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стосовно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страхування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перестрахування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),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якi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можуть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вчинятись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Товариством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перiод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 12.04.17р. по 11.04.2018р. (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включно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)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гранична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сукупна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кожного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правочину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не повинна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перевищувати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1556%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вартостi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активiв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даними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рiчної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фiнансової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звiтностi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за 2016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рiк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.</w:t>
            </w:r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Загальна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7 057 478 694,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зареєстрованi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участi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загальних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зборах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7 052 746 062,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проголосували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“за” 7 051 597 333,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кiлькiсть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голосуючих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акцiй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проголосували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 xml:space="preserve"> “</w:t>
            </w:r>
            <w:proofErr w:type="spellStart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проти</w:t>
            </w:r>
            <w:proofErr w:type="spellEnd"/>
            <w:r w:rsidRPr="002F06FB">
              <w:rPr>
                <w:color w:val="000000"/>
                <w:sz w:val="27"/>
                <w:szCs w:val="27"/>
                <w:bdr w:val="none" w:sz="0" w:space="0" w:color="auto" w:frame="1"/>
              </w:rPr>
              <w:t>” 0.</w:t>
            </w:r>
          </w:p>
        </w:tc>
      </w:tr>
    </w:tbl>
    <w:p w:rsidR="001B03BC" w:rsidRPr="002F06FB" w:rsidRDefault="002F06FB" w:rsidP="002F06FB">
      <w:hyperlink r:id="rId6" w:history="1">
        <w:r w:rsidRPr="002F06FB">
          <w:rPr>
            <w:color w:val="001970"/>
            <w:sz w:val="29"/>
            <w:szCs w:val="29"/>
            <w:bdr w:val="none" w:sz="0" w:space="0" w:color="auto" w:frame="1"/>
          </w:rPr>
          <w:br/>
        </w:r>
      </w:hyperlink>
    </w:p>
    <w:sectPr w:rsidR="001B03BC" w:rsidRPr="002F06FB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2F06F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2EB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328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oins.com.ua/2017/04/13/sponsorskij-dogovir_uk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D5FB-F99F-4A31-AE44-D3BD2C00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2021-06-30T19:24:00Z</dcterms:created>
  <dcterms:modified xsi:type="dcterms:W3CDTF">2021-06-30T19:24:00Z</dcterms:modified>
</cp:coreProperties>
</file>